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323" w:firstLineChars="101"/>
        <w:rPr>
          <w:rFonts w:ascii="黑体" w:hAnsi="Times New Roman" w:eastAsia="黑体" w:cs="Times New Roman"/>
          <w:b/>
          <w:bCs/>
          <w:spacing w:val="-20"/>
          <w:sz w:val="32"/>
          <w:szCs w:val="32"/>
        </w:rPr>
      </w:pPr>
      <w:r>
        <w:rPr>
          <w:rFonts w:hint="eastAsia" w:ascii="黑体" w:hAnsi="Times New Roman" w:eastAsia="黑体" w:cs="Times New Roman"/>
          <w:sz w:val="32"/>
          <w:szCs w:val="32"/>
        </w:rPr>
        <w:t>附件</w:t>
      </w:r>
      <w:r>
        <w:rPr>
          <w:rFonts w:hint="eastAsia" w:ascii="黑体" w:hAnsi="Times New Roman" w:eastAsia="黑体" w:cs="Times New Roman"/>
          <w:sz w:val="32"/>
          <w:szCs w:val="32"/>
          <w:lang w:val="en-US" w:eastAsia="zh-CN"/>
        </w:rPr>
        <w:t>3</w:t>
      </w:r>
      <w:r>
        <w:rPr>
          <w:rFonts w:hint="eastAsia" w:ascii="黑体" w:hAnsi="Times New Roman" w:eastAsia="黑体" w:cs="Times New Roman"/>
          <w:sz w:val="32"/>
          <w:szCs w:val="32"/>
        </w:rPr>
        <w:t xml:space="preserve">  </w:t>
      </w: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284" w:firstLineChars="101"/>
        <w:jc w:val="center"/>
        <w:rPr>
          <w:rFonts w:ascii="Times New Roman" w:hAnsi="Times New Roman" w:eastAsia="隶书" w:cs="Times New Roman"/>
          <w:b/>
          <w:bCs/>
          <w:spacing w:val="-20"/>
          <w:sz w:val="32"/>
          <w:szCs w:val="24"/>
        </w:rPr>
      </w:pPr>
    </w:p>
    <w:p>
      <w:pPr>
        <w:ind w:left="-359" w:leftChars="-171" w:firstLine="485"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lang w:val="en-US" w:eastAsia="zh-CN"/>
        </w:rPr>
        <w:t>2020年度</w:t>
      </w:r>
      <w:r>
        <w:rPr>
          <w:rFonts w:hint="eastAsia" w:ascii="黑体" w:hAnsi="黑体" w:eastAsia="黑体" w:cs="Times New Roman"/>
          <w:bCs/>
          <w:spacing w:val="-20"/>
          <w:sz w:val="52"/>
          <w:szCs w:val="52"/>
          <w:lang w:eastAsia="zh-CN"/>
        </w:rPr>
        <w:t>省</w:t>
      </w:r>
      <w:r>
        <w:rPr>
          <w:rFonts w:hint="eastAsia" w:ascii="黑体" w:hAnsi="黑体" w:eastAsia="黑体" w:cs="Times New Roman"/>
          <w:bCs/>
          <w:spacing w:val="-20"/>
          <w:sz w:val="52"/>
          <w:szCs w:val="52"/>
        </w:rPr>
        <w:t>级一流本科专业建设点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hint="eastAsia" w:ascii="Arial" w:hAnsi="Arial" w:eastAsia="楷体_GB2312" w:cs="Times New Roman"/>
          <w:sz w:val="36"/>
          <w:szCs w:val="24"/>
        </w:rPr>
        <w:t>高校名称：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r>
        <w:rPr>
          <w:rFonts w:hint="eastAsia" w:ascii="Arial" w:hAnsi="Arial" w:eastAsia="楷体_GB2312" w:cs="Times New Roman"/>
          <w:sz w:val="36"/>
          <w:szCs w:val="24"/>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主管部门：</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专业代码：</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39" w:firstLineChars="371"/>
        <w:rPr>
          <w:rFonts w:ascii="Arial" w:hAnsi="Arial" w:eastAsia="楷体_GB2312" w:cs="Times New Roman"/>
          <w:spacing w:val="14"/>
          <w:sz w:val="36"/>
          <w:szCs w:val="24"/>
          <w:u w:val="single"/>
        </w:rPr>
      </w:pPr>
      <w:r>
        <w:rPr>
          <w:rFonts w:hint="eastAsia" w:ascii="Arial" w:hAnsi="Arial" w:eastAsia="楷体_GB2312" w:cs="Times New Roman"/>
          <w:spacing w:val="14"/>
          <w:sz w:val="36"/>
          <w:szCs w:val="24"/>
        </w:rPr>
        <w:t>专业类：</w:t>
      </w:r>
      <w:r>
        <w:rPr>
          <w:rFonts w:hint="eastAsia" w:ascii="Arial" w:hAnsi="Arial" w:eastAsia="楷体_GB2312" w:cs="Times New Roman"/>
          <w:spacing w:val="14"/>
          <w:sz w:val="36"/>
          <w:szCs w:val="24"/>
          <w:u w:val="single"/>
        </w:rPr>
        <w:t xml:space="preserve"> </w:t>
      </w:r>
      <w:r>
        <w:rPr>
          <w:rFonts w:ascii="Arial" w:hAnsi="Arial" w:eastAsia="楷体_GB2312" w:cs="Times New Roman"/>
          <w:spacing w:val="14"/>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专业负责人：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r>
        <w:rPr>
          <w:rFonts w:hint="eastAsia" w:ascii="Arial" w:hAnsi="Arial" w:eastAsia="楷体_GB2312" w:cs="Times New Roman"/>
          <w:sz w:val="36"/>
          <w:szCs w:val="24"/>
          <w:lang w:eastAsia="zh-CN"/>
        </w:rPr>
        <w:t>河北省教育厅</w:t>
      </w:r>
      <w:r>
        <w:rPr>
          <w:rFonts w:hint="eastAsia" w:ascii="Arial" w:hAnsi="Arial" w:eastAsia="楷体_GB2312" w:cs="Times New Roman"/>
          <w:sz w:val="36"/>
          <w:szCs w:val="24"/>
        </w:rPr>
        <w:t>制</w:t>
      </w:r>
    </w:p>
    <w:p>
      <w:pPr>
        <w:jc w:val="center"/>
        <w:rPr>
          <w:rFonts w:ascii="Arial" w:hAnsi="Arial" w:eastAsia="楷体_GB2312" w:cs="Times New Roman"/>
          <w:sz w:val="36"/>
          <w:szCs w:val="24"/>
        </w:rPr>
      </w:pPr>
      <w:r>
        <w:rPr>
          <w:rFonts w:hint="eastAsia" w:ascii="Arial" w:hAnsi="Arial" w:eastAsia="楷体_GB2312" w:cs="Times New Roman"/>
          <w:sz w:val="36"/>
          <w:szCs w:val="24"/>
        </w:rPr>
        <w:t>填表日期：</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 xml:space="preserve">年 </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月</w:t>
      </w:r>
      <w:r>
        <w:rPr>
          <w:rFonts w:ascii="Arial" w:hAnsi="Arial" w:eastAsia="楷体_GB2312" w:cs="Times New Roman"/>
          <w:sz w:val="36"/>
          <w:szCs w:val="24"/>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采集表填写内容必须实事求是，表达准确严谨。填报内容不得有空缺项，如无内容应填“无”。</w:t>
      </w:r>
    </w:p>
    <w:p>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2.纸质版材料请在采集表封面“高校名称”处加盖学校公章。</w:t>
      </w:r>
      <w:bookmarkStart w:id="1" w:name="_GoBack"/>
      <w:bookmarkEnd w:id="1"/>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一</w:t>
      </w:r>
      <w:r>
        <w:rPr>
          <w:rFonts w:hint="eastAsia" w:ascii="仿宋_GB2312" w:hAnsi="仿宋" w:eastAsia="仿宋_GB2312" w:cs="Times New Roman"/>
          <w:sz w:val="32"/>
          <w:szCs w:val="32"/>
        </w:rPr>
        <w:t>、所在</w:t>
      </w:r>
      <w:r>
        <w:rPr>
          <w:rFonts w:ascii="仿宋_GB2312" w:hAnsi="仿宋" w:eastAsia="仿宋_GB2312" w:cs="Times New Roman"/>
          <w:sz w:val="32"/>
          <w:szCs w:val="32"/>
        </w:rPr>
        <w:t>高校基本情况</w:t>
      </w:r>
    </w:p>
    <w:p>
      <w:pPr>
        <w:spacing w:line="360" w:lineRule="auto"/>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二</w:t>
      </w:r>
      <w:r>
        <w:rPr>
          <w:rFonts w:hint="eastAsia" w:ascii="仿宋_GB2312" w:hAnsi="仿宋" w:eastAsia="仿宋_GB2312" w:cs="Times New Roman"/>
          <w:sz w:val="32"/>
          <w:szCs w:val="32"/>
        </w:rPr>
        <w:t>、</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三、下一步推进专业建设和改革的主要思路及举措</w:t>
      </w:r>
    </w:p>
    <w:p>
      <w:pPr>
        <w:rPr>
          <w:rFonts w:ascii="黑体" w:hAnsi="黑体" w:eastAsia="黑体" w:cs="Times New Roman"/>
          <w:sz w:val="32"/>
          <w:szCs w:val="32"/>
        </w:rPr>
      </w:pPr>
      <w:r>
        <w:rPr>
          <w:rFonts w:hint="eastAsia" w:ascii="仿宋_GB2312" w:hAnsi="仿宋" w:eastAsia="仿宋_GB2312" w:cs="Times New Roman"/>
          <w:bCs/>
          <w:sz w:val="32"/>
          <w:szCs w:val="32"/>
          <w:lang w:val="en-US" w:eastAsia="zh-CN"/>
        </w:rPr>
        <w:t xml:space="preserve">    </w:t>
      </w:r>
      <w:r>
        <w:rPr>
          <w:rFonts w:hint="eastAsia" w:ascii="仿宋_GB2312" w:hAnsi="仿宋" w:eastAsia="仿宋_GB2312" w:cs="Times New Roman"/>
          <w:bCs/>
          <w:sz w:val="32"/>
          <w:szCs w:val="32"/>
        </w:rPr>
        <w:t>四、本专业人才培养方案</w:t>
      </w:r>
      <w:r>
        <w:rPr>
          <w:rFonts w:hint="eastAsia" w:ascii="仿宋_GB2312" w:hAnsi="仿宋" w:eastAsia="仿宋_GB2312" w:cs="Times New Roman"/>
          <w:bCs/>
          <w:sz w:val="32"/>
          <w:szCs w:val="32"/>
        </w:rPr>
        <w:br w:type="page"/>
      </w:r>
      <w:r>
        <w:rPr>
          <w:rFonts w:hint="eastAsia" w:ascii="黑体" w:hAnsi="黑体" w:eastAsia="黑体" w:cs="Times New Roman"/>
          <w:sz w:val="32"/>
          <w:szCs w:val="32"/>
        </w:rPr>
        <w:t>一、所在高校基本情况</w:t>
      </w:r>
    </w:p>
    <w:tbl>
      <w:tblPr>
        <w:tblStyle w:val="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□部委院校  □地方院校 □</w:t>
            </w:r>
            <w:r>
              <w:rPr>
                <w:rFonts w:hint="eastAsia" w:ascii="Times New Roman" w:hAnsi="Times New Roman" w:eastAsia="仿宋_GB2312" w:cs="Times New Roman"/>
                <w:sz w:val="24"/>
                <w:szCs w:val="24"/>
              </w:rPr>
              <w:t>部省</w:t>
            </w:r>
            <w:r>
              <w:rPr>
                <w:rFonts w:ascii="Times New Roman" w:hAnsi="Times New Roman" w:eastAsia="仿宋_GB2312" w:cs="Times New Roman"/>
                <w:sz w:val="24"/>
                <w:szCs w:val="24"/>
              </w:rPr>
              <w:t>合建高校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近3</w:t>
            </w:r>
            <w:r>
              <w:rPr>
                <w:rFonts w:ascii="Times New Roman" w:hAnsi="Times New Roman" w:eastAsia="仿宋_GB2312" w:cs="Times New Roman"/>
                <w:sz w:val="24"/>
                <w:szCs w:val="24"/>
              </w:rPr>
              <w:t>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仿宋" w:hAnsi="仿宋" w:eastAsia="仿宋" w:cs="Times New Roman"/>
                <w:sz w:val="24"/>
                <w:szCs w:val="24"/>
              </w:rPr>
            </w:pPr>
            <w:r>
              <w:rPr>
                <w:rFonts w:hint="eastAsia" w:ascii="仿宋" w:hAnsi="仿宋" w:eastAsia="仿宋" w:cs="Times New Roman"/>
                <w:sz w:val="24"/>
                <w:szCs w:val="24"/>
              </w:rPr>
              <w:t>（</w:t>
            </w:r>
            <w:r>
              <w:rPr>
                <w:rFonts w:ascii="仿宋" w:hAnsi="仿宋" w:eastAsia="仿宋" w:cs="Times New Roman"/>
                <w:sz w:val="24"/>
                <w:szCs w:val="24"/>
              </w:rPr>
              <w:t>落实</w:t>
            </w:r>
            <w:r>
              <w:rPr>
                <w:rFonts w:hint="eastAsia" w:ascii="仿宋" w:hAnsi="仿宋" w:eastAsia="仿宋" w:cs="Times New Roman"/>
                <w:sz w:val="24"/>
                <w:szCs w:val="24"/>
              </w:rPr>
              <w:t>“以本为本、四个回归”、推进“四新”建设、完善协同育人和实践教学机制、</w:t>
            </w:r>
            <w:r>
              <w:rPr>
                <w:rFonts w:ascii="仿宋" w:hAnsi="仿宋" w:eastAsia="仿宋" w:cs="Times New Roman"/>
                <w:sz w:val="24"/>
                <w:szCs w:val="24"/>
              </w:rPr>
              <w:t>培育以人才培养为中心的</w:t>
            </w:r>
            <w:r>
              <w:rPr>
                <w:rFonts w:hint="eastAsia" w:ascii="仿宋" w:hAnsi="仿宋" w:eastAsia="仿宋" w:cs="Times New Roman"/>
                <w:sz w:val="24"/>
                <w:szCs w:val="24"/>
              </w:rPr>
              <w:t>质量文化等</w:t>
            </w:r>
            <w:r>
              <w:rPr>
                <w:rFonts w:hint="eastAsia" w:ascii="Times New Roman" w:hAnsi="Times New Roman" w:eastAsia="仿宋_GB2312" w:cs="Times New Roman"/>
                <w:sz w:val="24"/>
                <w:szCs w:val="24"/>
              </w:rPr>
              <w:t>，</w:t>
            </w:r>
            <w:r>
              <w:rPr>
                <w:rFonts w:ascii="Times New Roman" w:hAnsi="Times New Roman" w:eastAsia="仿宋_GB2312" w:cs="Times New Roman"/>
                <w:sz w:val="24"/>
                <w:szCs w:val="24"/>
              </w:rPr>
              <w:t>1200字以内</w:t>
            </w:r>
            <w:r>
              <w:rPr>
                <w:rFonts w:hint="eastAsia" w:ascii="仿宋" w:hAnsi="仿宋" w:eastAsia="仿宋" w:cs="Times New Roman"/>
                <w:sz w:val="24"/>
                <w:szCs w:val="24"/>
              </w:rPr>
              <w:t>）</w:t>
            </w: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w:t>
            </w:r>
            <w:r>
              <w:rPr>
                <w:rFonts w:ascii="Times New Roman" w:hAnsi="Times New Roman" w:eastAsia="仿宋_GB2312" w:cs="Times New Roman"/>
                <w:sz w:val="24"/>
                <w:szCs w:val="24"/>
              </w:rPr>
              <w:t>10项</w:t>
            </w:r>
            <w:r>
              <w:rPr>
                <w:rFonts w:hint="eastAsia" w:ascii="Times New Roman" w:hAnsi="Times New Roman" w:eastAsia="仿宋_GB2312" w:cs="Times New Roman"/>
                <w:sz w:val="24"/>
                <w:szCs w:val="24"/>
              </w:rPr>
              <w:t>）</w:t>
            </w: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hint="eastAsia" w:ascii="仿宋_GB2312" w:hAnsi="Times New Roman" w:eastAsia="仿宋_GB2312" w:cs="Times New Roman"/>
                <w:szCs w:val="24"/>
              </w:rPr>
              <w:t>…</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黑体" w:hAnsi="黑体" w:eastAsia="黑体" w:cs="Times New Roman"/>
          <w:bCs/>
          <w:sz w:val="32"/>
          <w:szCs w:val="32"/>
        </w:rPr>
      </w:pPr>
      <w:r>
        <w:rPr>
          <w:rFonts w:ascii="黑体" w:hAnsi="黑体" w:eastAsia="黑体" w:cs="Times New Roman"/>
          <w:sz w:val="36"/>
          <w:szCs w:val="36"/>
        </w:rPr>
        <w:br w:type="page"/>
      </w:r>
      <w:r>
        <w:rPr>
          <w:rFonts w:hint="eastAsia" w:ascii="黑体" w:hAnsi="黑体" w:eastAsia="黑体" w:cs="Times New Roman"/>
          <w:sz w:val="32"/>
          <w:szCs w:val="32"/>
        </w:rPr>
        <w:t>二、</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w:t>
      </w:r>
      <w:r>
        <w:rPr>
          <w:rFonts w:hint="eastAsia" w:ascii="仿宋" w:hAnsi="仿宋" w:eastAsia="仿宋" w:cs="Times New Roman"/>
          <w:sz w:val="24"/>
          <w:szCs w:val="24"/>
          <w:lang w:val="en-US" w:eastAsia="zh-CN"/>
        </w:rPr>
        <w:t>9</w:t>
      </w:r>
      <w:r>
        <w:rPr>
          <w:rFonts w:hint="eastAsia" w:ascii="仿宋" w:hAnsi="仿宋" w:eastAsia="仿宋" w:cs="Times New Roman"/>
          <w:sz w:val="24"/>
          <w:szCs w:val="24"/>
        </w:rPr>
        <w:t>-</w:t>
      </w:r>
      <w:r>
        <w:rPr>
          <w:rFonts w:ascii="仿宋" w:hAnsi="仿宋" w:eastAsia="仿宋" w:cs="Times New Roman"/>
          <w:sz w:val="24"/>
          <w:szCs w:val="24"/>
        </w:rPr>
        <w:t>20</w:t>
      </w:r>
      <w:r>
        <w:rPr>
          <w:rFonts w:hint="eastAsia" w:ascii="仿宋" w:hAnsi="仿宋" w:eastAsia="仿宋" w:cs="Times New Roman"/>
          <w:sz w:val="24"/>
          <w:szCs w:val="24"/>
          <w:lang w:val="en-US" w:eastAsia="zh-CN"/>
        </w:rPr>
        <w:t>20</w:t>
      </w:r>
      <w:r>
        <w:rPr>
          <w:rFonts w:ascii="仿宋" w:hAnsi="仿宋" w:eastAsia="仿宋" w:cs="Times New Roman"/>
          <w:sz w:val="24"/>
          <w:szCs w:val="24"/>
        </w:rPr>
        <w:t>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4"/>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19</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18</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w:t>
            </w:r>
            <w:r>
              <w:rPr>
                <w:rFonts w:hint="eastAsia" w:ascii="Times New Roman" w:hAnsi="Times New Roman" w:eastAsia="仿宋_GB2312" w:cs="Times New Roman"/>
                <w:sz w:val="24"/>
                <w:szCs w:val="24"/>
                <w:lang w:val="en-US" w:eastAsia="zh-CN"/>
              </w:rPr>
              <w:t>17</w:t>
            </w:r>
            <w:r>
              <w:rPr>
                <w:rFonts w:hint="eastAsia" w:ascii="Times New Roman" w:hAnsi="Times New Roman" w:eastAsia="仿宋_GB2312" w:cs="Times New Roman"/>
                <w:sz w:val="24"/>
                <w:szCs w:val="24"/>
              </w:rPr>
              <w:t>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27"/>
        <w:gridCol w:w="1207"/>
        <w:gridCol w:w="1723"/>
        <w:gridCol w:w="850"/>
        <w:gridCol w:w="78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120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72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850"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785"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1279"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723" w:type="dxa"/>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spacing w:before="62" w:beforeLines="20" w:after="62"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62" w:beforeLines="20" w:after="62" w:afterLines="20"/>
              <w:rPr>
                <w:rFonts w:ascii="Times New Roman" w:hAnsi="Times New Roman" w:eastAsia="仿宋_GB2312" w:cs="Times New Roman"/>
                <w:sz w:val="24"/>
                <w:szCs w:val="24"/>
              </w:rPr>
            </w:pPr>
          </w:p>
        </w:tc>
        <w:tc>
          <w:tcPr>
            <w:tcW w:w="1723" w:type="dxa"/>
            <w:vAlign w:val="center"/>
          </w:tcPr>
          <w:p>
            <w:pPr>
              <w:spacing w:before="62" w:beforeLines="20" w:after="62" w:afterLines="2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jc w:val="center"/>
              <w:rPr>
                <w:rFonts w:ascii="Times New Roman" w:hAnsi="Times New Roman" w:eastAsia="仿宋_GB2312" w:cs="Times New Roman"/>
                <w:sz w:val="24"/>
                <w:szCs w:val="24"/>
              </w:rPr>
            </w:pPr>
          </w:p>
        </w:tc>
        <w:tc>
          <w:tcPr>
            <w:tcW w:w="827"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rPr>
                <w:rFonts w:ascii="Times New Roman" w:hAnsi="Times New Roman" w:eastAsia="仿宋_GB2312" w:cs="Times New Roman"/>
                <w:sz w:val="24"/>
                <w:szCs w:val="24"/>
              </w:rPr>
            </w:pPr>
          </w:p>
        </w:tc>
        <w:tc>
          <w:tcPr>
            <w:tcW w:w="1723" w:type="dxa"/>
            <w:vAlign w:val="center"/>
          </w:tcPr>
          <w:p>
            <w:pPr>
              <w:rPr>
                <w:rFonts w:ascii="Times New Roman" w:hAnsi="Times New Roman" w:eastAsia="仿宋_GB2312" w:cs="Times New Roman"/>
                <w:sz w:val="24"/>
                <w:szCs w:val="24"/>
              </w:rPr>
            </w:pPr>
          </w:p>
        </w:tc>
        <w:tc>
          <w:tcPr>
            <w:tcW w:w="850" w:type="dxa"/>
            <w:vAlign w:val="center"/>
          </w:tcPr>
          <w:p>
            <w:pPr>
              <w:jc w:val="center"/>
              <w:rPr>
                <w:rFonts w:ascii="Times New Roman" w:hAnsi="Times New Roman" w:eastAsia="仿宋_GB2312" w:cs="Times New Roman"/>
                <w:sz w:val="24"/>
                <w:szCs w:val="24"/>
              </w:rPr>
            </w:pPr>
          </w:p>
        </w:tc>
        <w:tc>
          <w:tcPr>
            <w:tcW w:w="785" w:type="dxa"/>
            <w:vAlign w:val="center"/>
          </w:tcPr>
          <w:p>
            <w:pPr>
              <w:jc w:val="center"/>
              <w:rPr>
                <w:rFonts w:ascii="Times New Roman" w:hAnsi="Times New Roman" w:eastAsia="仿宋_GB2312" w:cs="Times New Roman"/>
                <w:sz w:val="24"/>
                <w:szCs w:val="24"/>
              </w:rPr>
            </w:pPr>
          </w:p>
        </w:tc>
        <w:tc>
          <w:tcPr>
            <w:tcW w:w="1279"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restart"/>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9" w:hRule="atLeast"/>
        </w:trPr>
        <w:tc>
          <w:tcPr>
            <w:tcW w:w="1625" w:type="dxa"/>
            <w:vMerge w:val="continue"/>
            <w:vAlign w:val="center"/>
          </w:tcPr>
          <w:p>
            <w:pPr>
              <w:spacing w:before="93" w:beforeLines="30" w:after="93" w:afterLines="30"/>
              <w:rPr>
                <w:rFonts w:ascii="Times New Roman" w:hAnsi="Times New Roman" w:eastAsia="仿宋_GB2312" w:cs="Times New Roman"/>
                <w:sz w:val="24"/>
                <w:szCs w:val="24"/>
              </w:rPr>
            </w:pPr>
          </w:p>
        </w:tc>
        <w:tc>
          <w:tcPr>
            <w:tcW w:w="827" w:type="dxa"/>
            <w:vAlign w:val="center"/>
          </w:tcPr>
          <w:p>
            <w:pPr>
              <w:spacing w:before="93" w:beforeLines="30" w:after="93"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1207" w:type="dxa"/>
            <w:vAlign w:val="center"/>
          </w:tcPr>
          <w:p>
            <w:pPr>
              <w:spacing w:before="93" w:beforeLines="30" w:after="93" w:afterLines="30"/>
              <w:rPr>
                <w:rFonts w:ascii="Times New Roman" w:hAnsi="Times New Roman" w:eastAsia="仿宋_GB2312" w:cs="Times New Roman"/>
                <w:sz w:val="24"/>
                <w:szCs w:val="24"/>
              </w:rPr>
            </w:pPr>
          </w:p>
        </w:tc>
        <w:tc>
          <w:tcPr>
            <w:tcW w:w="1723" w:type="dxa"/>
            <w:vAlign w:val="center"/>
          </w:tcPr>
          <w:p>
            <w:pPr>
              <w:spacing w:before="93" w:beforeLines="30" w:after="93" w:afterLines="30"/>
              <w:rPr>
                <w:rFonts w:ascii="Times New Roman" w:hAnsi="Times New Roman" w:eastAsia="仿宋_GB2312" w:cs="Times New Roman"/>
                <w:sz w:val="24"/>
                <w:szCs w:val="24"/>
              </w:rPr>
            </w:pPr>
          </w:p>
        </w:tc>
        <w:tc>
          <w:tcPr>
            <w:tcW w:w="850" w:type="dxa"/>
            <w:vAlign w:val="center"/>
          </w:tcPr>
          <w:p>
            <w:pPr>
              <w:spacing w:before="93" w:beforeLines="30" w:after="93" w:afterLines="30"/>
              <w:rPr>
                <w:rFonts w:ascii="Times New Roman" w:hAnsi="Times New Roman" w:eastAsia="仿宋_GB2312" w:cs="Times New Roman"/>
                <w:sz w:val="24"/>
                <w:szCs w:val="24"/>
              </w:rPr>
            </w:pPr>
          </w:p>
        </w:tc>
        <w:tc>
          <w:tcPr>
            <w:tcW w:w="785" w:type="dxa"/>
            <w:vAlign w:val="center"/>
          </w:tcPr>
          <w:p>
            <w:pPr>
              <w:spacing w:before="93" w:beforeLines="30" w:after="93" w:afterLines="30"/>
              <w:rPr>
                <w:rFonts w:ascii="Times New Roman" w:hAnsi="Times New Roman" w:eastAsia="仿宋_GB2312" w:cs="Times New Roman"/>
                <w:sz w:val="24"/>
                <w:szCs w:val="24"/>
              </w:rPr>
            </w:pPr>
          </w:p>
        </w:tc>
        <w:tc>
          <w:tcPr>
            <w:tcW w:w="1279" w:type="dxa"/>
            <w:vAlign w:val="center"/>
          </w:tcPr>
          <w:p>
            <w:pPr>
              <w:spacing w:before="93" w:beforeLines="30" w:after="93"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三、</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9" w:hRule="atLeast"/>
        </w:trPr>
        <w:tc>
          <w:tcPr>
            <w:tcW w:w="8522"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p>
      <w:pPr>
        <w:rPr>
          <w:rFonts w:ascii="黑体" w:hAnsi="黑体" w:eastAsia="黑体" w:cs="宋体"/>
          <w:b/>
          <w:kern w:val="0"/>
          <w:sz w:val="32"/>
          <w:szCs w:val="32"/>
        </w:rPr>
      </w:pPr>
      <w:r>
        <w:rPr>
          <w:rFonts w:hint="eastAsia" w:ascii="黑体" w:hAnsi="黑体" w:eastAsia="黑体" w:cs="宋体"/>
          <w:b/>
          <w:kern w:val="0"/>
          <w:sz w:val="32"/>
          <w:szCs w:val="32"/>
        </w:rPr>
        <w:t>四、本专业人才培养方案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E5C53"/>
    <w:rsid w:val="00BD1F55"/>
    <w:rsid w:val="2AB04560"/>
    <w:rsid w:val="36456207"/>
    <w:rsid w:val="3FF97099"/>
    <w:rsid w:val="52161D2B"/>
    <w:rsid w:val="56176166"/>
    <w:rsid w:val="6BA8075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Char"/>
    <w:basedOn w:val="3"/>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274</Words>
  <Characters>1563</Characters>
  <Lines>13</Lines>
  <Paragraphs>3</Paragraphs>
  <ScaleCrop>false</ScaleCrop>
  <LinksUpToDate>false</LinksUpToDate>
  <CharactersWithSpaces>1834</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彭继东</cp:lastModifiedBy>
  <cp:lastPrinted>2020-10-10T09:12:00Z</cp:lastPrinted>
  <dcterms:modified xsi:type="dcterms:W3CDTF">2020-10-12T01:20:06Z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