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r>
        <w:rPr>
          <w:rFonts w:hint="eastAsia"/>
          <w:b/>
          <w:sz w:val="36"/>
          <w:szCs w:val="36"/>
        </w:rPr>
        <w:t>河北省学士学位论文管理平台操作前必读</w:t>
      </w:r>
    </w:p>
    <w:bookmarkEnd w:id="0"/>
    <w:p>
      <w:pPr>
        <w:numPr>
          <w:ilvl w:val="0"/>
          <w:numId w:val="1"/>
        </w:numPr>
        <w:rPr>
          <w:b/>
          <w:sz w:val="28"/>
          <w:szCs w:val="28"/>
        </w:rPr>
      </w:pPr>
      <w:r>
        <w:rPr>
          <w:rFonts w:hint="eastAsia"/>
          <w:b/>
          <w:sz w:val="28"/>
          <w:szCs w:val="28"/>
        </w:rPr>
        <w:t>新增功能</w:t>
      </w:r>
    </w:p>
    <w:p>
      <w:pPr>
        <w:numPr>
          <w:ilvl w:val="0"/>
          <w:numId w:val="2"/>
        </w:numPr>
        <w:spacing w:line="360" w:lineRule="auto"/>
        <w:ind w:left="0" w:firstLine="424" w:firstLineChars="202"/>
        <w:rPr>
          <w:szCs w:val="21"/>
        </w:rPr>
      </w:pPr>
      <w:r>
        <w:rPr>
          <w:rFonts w:hint="eastAsia"/>
          <w:szCs w:val="21"/>
        </w:rPr>
        <w:t>系统公告</w:t>
      </w:r>
    </w:p>
    <w:p>
      <w:pPr>
        <w:spacing w:line="360" w:lineRule="auto"/>
        <w:ind w:firstLine="420" w:firstLineChars="200"/>
        <w:rPr>
          <w:szCs w:val="21"/>
        </w:rPr>
      </w:pPr>
      <w:r>
        <w:rPr>
          <w:rFonts w:hint="eastAsia"/>
          <w:szCs w:val="21"/>
        </w:rPr>
        <w:t>系统公告指平台的发布系统升级相关公告和平台操作指南等文件，保障用户登录后在平台首页查看系统公告信息。</w:t>
      </w:r>
    </w:p>
    <w:p>
      <w:pPr>
        <w:spacing w:line="360" w:lineRule="auto"/>
        <w:jc w:val="left"/>
        <w:rPr>
          <w:szCs w:val="21"/>
        </w:rPr>
      </w:pPr>
      <w:r>
        <w:drawing>
          <wp:inline distT="0" distB="0" distL="0" distR="0">
            <wp:extent cx="5490210" cy="21532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490210" cy="2153285"/>
                    </a:xfrm>
                    <a:prstGeom prst="rect">
                      <a:avLst/>
                    </a:prstGeom>
                  </pic:spPr>
                </pic:pic>
              </a:graphicData>
            </a:graphic>
          </wp:inline>
        </w:drawing>
      </w:r>
    </w:p>
    <w:p>
      <w:pPr>
        <w:numPr>
          <w:ilvl w:val="0"/>
          <w:numId w:val="2"/>
        </w:numPr>
        <w:spacing w:line="360" w:lineRule="auto"/>
        <w:ind w:left="0" w:firstLine="420" w:firstLineChars="200"/>
        <w:jc w:val="left"/>
        <w:rPr>
          <w:szCs w:val="21"/>
        </w:rPr>
      </w:pPr>
      <w:r>
        <w:rPr>
          <w:rFonts w:hint="eastAsia"/>
          <w:szCs w:val="21"/>
        </w:rPr>
        <w:t>院系统计</w:t>
      </w:r>
    </w:p>
    <w:p>
      <w:pPr>
        <w:spacing w:line="360" w:lineRule="auto"/>
        <w:ind w:left="420"/>
        <w:jc w:val="left"/>
        <w:rPr>
          <w:szCs w:val="21"/>
        </w:rPr>
      </w:pPr>
      <w:r>
        <w:rPr>
          <w:rFonts w:hint="eastAsia"/>
          <w:szCs w:val="21"/>
        </w:rPr>
        <w:t>院系统计指学校各学院（系）上传的文档根据各学院（系）提交情况进行的通过率统计。</w:t>
      </w:r>
    </w:p>
    <w:p>
      <w:pPr>
        <w:spacing w:line="360" w:lineRule="auto"/>
        <w:jc w:val="center"/>
        <w:rPr>
          <w:szCs w:val="21"/>
        </w:rPr>
      </w:pPr>
      <w:r>
        <w:drawing>
          <wp:inline distT="0" distB="0" distL="0" distR="0">
            <wp:extent cx="3639185" cy="3783330"/>
            <wp:effectExtent l="0" t="0" r="0"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640763" cy="3784777"/>
                    </a:xfrm>
                    <a:prstGeom prst="rect">
                      <a:avLst/>
                    </a:prstGeom>
                  </pic:spPr>
                </pic:pic>
              </a:graphicData>
            </a:graphic>
          </wp:inline>
        </w:drawing>
      </w:r>
    </w:p>
    <w:p>
      <w:pPr>
        <w:spacing w:line="360" w:lineRule="auto"/>
        <w:jc w:val="center"/>
        <w:rPr>
          <w:szCs w:val="21"/>
        </w:rPr>
      </w:pPr>
    </w:p>
    <w:p>
      <w:pPr>
        <w:numPr>
          <w:ilvl w:val="0"/>
          <w:numId w:val="2"/>
        </w:numPr>
        <w:spacing w:line="360" w:lineRule="auto"/>
        <w:ind w:left="0" w:firstLine="420" w:firstLineChars="200"/>
        <w:rPr>
          <w:szCs w:val="21"/>
        </w:rPr>
      </w:pPr>
      <w:r>
        <w:rPr>
          <w:rFonts w:hint="eastAsia"/>
          <w:szCs w:val="21"/>
        </w:rPr>
        <w:t>检测通过标准设置，新增针对不同的上传文档设置对应的检测通过标准。</w:t>
      </w:r>
    </w:p>
    <w:p>
      <w:pPr>
        <w:spacing w:line="360" w:lineRule="auto"/>
        <w:rPr>
          <w:szCs w:val="21"/>
        </w:rPr>
      </w:pPr>
      <w:r>
        <w:drawing>
          <wp:inline distT="0" distB="0" distL="0" distR="0">
            <wp:extent cx="5274310" cy="108712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74310" cy="1087120"/>
                    </a:xfrm>
                    <a:prstGeom prst="rect">
                      <a:avLst/>
                    </a:prstGeom>
                  </pic:spPr>
                </pic:pic>
              </a:graphicData>
            </a:graphic>
          </wp:inline>
        </w:drawing>
      </w:r>
    </w:p>
    <w:p>
      <w:pPr>
        <w:spacing w:line="360" w:lineRule="auto"/>
        <w:rPr>
          <w:szCs w:val="21"/>
        </w:rPr>
      </w:pPr>
      <w:r>
        <w:drawing>
          <wp:inline distT="0" distB="0" distL="0" distR="0">
            <wp:extent cx="5490210" cy="10972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5490210" cy="1097280"/>
                    </a:xfrm>
                    <a:prstGeom prst="rect">
                      <a:avLst/>
                    </a:prstGeom>
                  </pic:spPr>
                </pic:pic>
              </a:graphicData>
            </a:graphic>
          </wp:inline>
        </w:drawing>
      </w:r>
    </w:p>
    <w:p>
      <w:pPr>
        <w:spacing w:line="360" w:lineRule="auto"/>
        <w:ind w:firstLine="420" w:firstLineChars="200"/>
        <w:rPr>
          <w:szCs w:val="21"/>
        </w:rPr>
      </w:pPr>
      <w:r>
        <w:rPr>
          <w:rFonts w:hint="eastAsia"/>
          <w:szCs w:val="21"/>
        </w:rPr>
        <w:t>a、如果不进行相关设置，默认所有上传文档的检测通过标准为30%。</w:t>
      </w:r>
    </w:p>
    <w:p>
      <w:pPr>
        <w:spacing w:line="360" w:lineRule="auto"/>
        <w:ind w:firstLine="420" w:firstLineChars="200"/>
        <w:rPr>
          <w:szCs w:val="21"/>
        </w:rPr>
      </w:pPr>
      <w:r>
        <w:rPr>
          <w:rFonts w:hint="eastAsia"/>
          <w:szCs w:val="21"/>
        </w:rPr>
        <w:t>b、如果在学校层级设置为“论文通过标准”为15%，“毕设通过标准”为20%，“作品阐述通过标准”为30%，其他学院（系）的设置为空，各学院（系）的检测通过标准同学校层级的设置。如上图设置。</w:t>
      </w:r>
    </w:p>
    <w:p>
      <w:pPr>
        <w:spacing w:line="360" w:lineRule="auto"/>
        <w:ind w:firstLine="420" w:firstLineChars="200"/>
        <w:rPr>
          <w:szCs w:val="21"/>
        </w:rPr>
      </w:pPr>
      <w:r>
        <w:rPr>
          <w:rFonts w:hint="eastAsia"/>
          <w:szCs w:val="21"/>
        </w:rPr>
        <w:t>c、如果各学院（系）的检测标准设置和学校层级不同，可单独为各学院（系）进行设置。</w:t>
      </w:r>
    </w:p>
    <w:p>
      <w:pPr>
        <w:spacing w:line="360" w:lineRule="auto"/>
        <w:ind w:firstLine="420" w:firstLineChars="200"/>
        <w:rPr>
          <w:color w:val="FF0000"/>
          <w:szCs w:val="21"/>
        </w:rPr>
      </w:pPr>
      <w:r>
        <w:rPr>
          <w:rFonts w:hint="eastAsia"/>
          <w:color w:val="FF0000"/>
          <w:szCs w:val="21"/>
        </w:rPr>
        <w:t>注意：该设置需谨慎使用，设置次数过多，会导致统计数据变化，影响最终汇总结果。建议当前届开始上传时只设置一次，设置后不要进行修改。</w:t>
      </w:r>
    </w:p>
    <w:p>
      <w:pPr>
        <w:numPr>
          <w:ilvl w:val="0"/>
          <w:numId w:val="3"/>
        </w:numPr>
        <w:spacing w:line="360" w:lineRule="auto"/>
        <w:rPr>
          <w:szCs w:val="21"/>
        </w:rPr>
      </w:pPr>
      <w:r>
        <w:rPr>
          <w:rFonts w:hint="eastAsia"/>
          <w:szCs w:val="21"/>
        </w:rPr>
        <w:t>操作步骤：初始管理</w:t>
      </w:r>
      <w:r>
        <w:rPr>
          <w:szCs w:val="21"/>
        </w:rPr>
        <w:t>—</w:t>
      </w:r>
      <w:r>
        <w:rPr>
          <w:rFonts w:hint="eastAsia"/>
          <w:szCs w:val="21"/>
        </w:rPr>
        <w:t>检测通过标准设置</w:t>
      </w:r>
    </w:p>
    <w:p>
      <w:pPr>
        <w:numPr>
          <w:ilvl w:val="0"/>
          <w:numId w:val="2"/>
        </w:numPr>
        <w:spacing w:line="360" w:lineRule="auto"/>
        <w:ind w:left="0" w:firstLine="420" w:firstLineChars="200"/>
        <w:rPr>
          <w:szCs w:val="21"/>
        </w:rPr>
      </w:pPr>
      <w:r>
        <w:rPr>
          <w:rFonts w:hint="eastAsia"/>
          <w:szCs w:val="21"/>
        </w:rPr>
        <w:t>设置论文提交格式</w:t>
      </w:r>
    </w:p>
    <w:p>
      <w:pPr>
        <w:spacing w:line="360" w:lineRule="auto"/>
        <w:ind w:firstLine="420" w:firstLineChars="200"/>
        <w:rPr>
          <w:color w:val="FF0000"/>
          <w:szCs w:val="21"/>
        </w:rPr>
      </w:pPr>
      <w:r>
        <w:rPr>
          <w:rFonts w:hint="eastAsia"/>
          <w:szCs w:val="21"/>
        </w:rPr>
        <w:t>设置论文提交格式指文档提交前，可对学校的文件命名进行规范设置（如未进行设置，默认文件命名为“学生学号-学生姓名-论文题目”）。选择一种设置后，提交时，如文件命名与该设置的命名规范有区别，平台将提示“文件名格式错误（正确的命名格式）”。</w:t>
      </w:r>
      <w:r>
        <w:rPr>
          <w:rFonts w:hint="eastAsia"/>
          <w:color w:val="FF0000"/>
          <w:szCs w:val="21"/>
        </w:rPr>
        <w:t>如下图：设置的文件命名为“学生学号+学生姓名+论文题目”。</w:t>
      </w:r>
    </w:p>
    <w:p>
      <w:pPr>
        <w:spacing w:line="360" w:lineRule="auto"/>
        <w:ind w:left="-141" w:leftChars="-67" w:firstLine="210" w:firstLineChars="100"/>
        <w:rPr>
          <w:szCs w:val="21"/>
        </w:rPr>
      </w:pPr>
      <w:r>
        <w:drawing>
          <wp:inline distT="0" distB="0" distL="0" distR="0">
            <wp:extent cx="5490210" cy="23431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490210" cy="2343150"/>
                    </a:xfrm>
                    <a:prstGeom prst="rect">
                      <a:avLst/>
                    </a:prstGeom>
                  </pic:spPr>
                </pic:pic>
              </a:graphicData>
            </a:graphic>
          </wp:inline>
        </w:drawing>
      </w:r>
    </w:p>
    <w:p>
      <w:pPr>
        <w:spacing w:line="360" w:lineRule="auto"/>
        <w:ind w:left="-141" w:leftChars="-67" w:firstLine="210" w:firstLineChars="100"/>
        <w:rPr>
          <w:szCs w:val="21"/>
        </w:rPr>
      </w:pPr>
      <w:r>
        <w:drawing>
          <wp:inline distT="0" distB="0" distL="0" distR="0">
            <wp:extent cx="5490210" cy="738505"/>
            <wp:effectExtent l="0" t="0" r="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490210" cy="738505"/>
                    </a:xfrm>
                    <a:prstGeom prst="rect">
                      <a:avLst/>
                    </a:prstGeom>
                  </pic:spPr>
                </pic:pic>
              </a:graphicData>
            </a:graphic>
          </wp:inline>
        </w:drawing>
      </w:r>
    </w:p>
    <w:p>
      <w:pPr>
        <w:spacing w:line="360" w:lineRule="auto"/>
        <w:ind w:firstLine="420" w:firstLineChars="200"/>
        <w:rPr>
          <w:color w:val="FF0000"/>
          <w:szCs w:val="21"/>
        </w:rPr>
      </w:pPr>
      <w:r>
        <w:rPr>
          <w:rFonts w:hint="eastAsia"/>
          <w:color w:val="FF0000"/>
          <w:szCs w:val="21"/>
        </w:rPr>
        <w:t>注意：该设置需谨慎使用，在当前届上传前进行设置，在提交过程中不要修改，避免修改后，无法上传成功。</w:t>
      </w:r>
    </w:p>
    <w:p>
      <w:pPr>
        <w:numPr>
          <w:ilvl w:val="0"/>
          <w:numId w:val="3"/>
        </w:numPr>
        <w:spacing w:line="360" w:lineRule="auto"/>
        <w:rPr>
          <w:szCs w:val="21"/>
        </w:rPr>
      </w:pPr>
      <w:r>
        <w:rPr>
          <w:rFonts w:hint="eastAsia"/>
          <w:szCs w:val="21"/>
        </w:rPr>
        <w:t>操作步骤：初始管理</w:t>
      </w:r>
      <w:r>
        <w:rPr>
          <w:szCs w:val="21"/>
        </w:rPr>
        <w:t>—</w:t>
      </w:r>
      <w:r>
        <w:rPr>
          <w:rFonts w:hint="eastAsia"/>
          <w:szCs w:val="21"/>
        </w:rPr>
        <w:t>设置论文提交格式</w:t>
      </w:r>
    </w:p>
    <w:p>
      <w:pPr>
        <w:numPr>
          <w:ilvl w:val="0"/>
          <w:numId w:val="2"/>
        </w:numPr>
        <w:spacing w:line="360" w:lineRule="auto"/>
        <w:ind w:left="0" w:firstLine="420" w:firstLineChars="200"/>
        <w:rPr>
          <w:szCs w:val="21"/>
        </w:rPr>
      </w:pPr>
      <w:r>
        <w:rPr>
          <w:rFonts w:hint="eastAsia"/>
          <w:szCs w:val="21"/>
        </w:rPr>
        <w:t>提交论文</w:t>
      </w:r>
    </w:p>
    <w:p>
      <w:pPr>
        <w:spacing w:line="360" w:lineRule="auto"/>
        <w:ind w:firstLine="420" w:firstLineChars="200"/>
        <w:rPr>
          <w:szCs w:val="21"/>
        </w:rPr>
      </w:pPr>
      <w:r>
        <w:rPr>
          <w:rFonts w:hint="eastAsia"/>
          <w:szCs w:val="21"/>
        </w:rPr>
        <w:t>提交论文指提交的文档分为论文、设计、作品阐述/创作报告。在提交时选择分类。</w:t>
      </w:r>
    </w:p>
    <w:p>
      <w:pPr>
        <w:spacing w:line="360" w:lineRule="auto"/>
        <w:ind w:left="-141" w:leftChars="-67" w:firstLine="1"/>
        <w:jc w:val="center"/>
        <w:rPr>
          <w:szCs w:val="21"/>
        </w:rPr>
      </w:pPr>
      <w:r>
        <w:drawing>
          <wp:inline distT="0" distB="0" distL="0" distR="0">
            <wp:extent cx="5490210" cy="3098165"/>
            <wp:effectExtent l="0" t="0" r="0" b="698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490210" cy="3098165"/>
                    </a:xfrm>
                    <a:prstGeom prst="rect">
                      <a:avLst/>
                    </a:prstGeom>
                  </pic:spPr>
                </pic:pic>
              </a:graphicData>
            </a:graphic>
          </wp:inline>
        </w:drawing>
      </w:r>
    </w:p>
    <w:p>
      <w:pPr>
        <w:spacing w:line="360" w:lineRule="auto"/>
        <w:ind w:left="-141" w:leftChars="-67" w:firstLine="420" w:firstLineChars="200"/>
        <w:rPr>
          <w:szCs w:val="21"/>
        </w:rPr>
      </w:pPr>
      <w:r>
        <w:rPr>
          <w:rFonts w:hint="eastAsia"/>
          <w:szCs w:val="21"/>
        </w:rPr>
        <w:t>如提交文档时，论文分类选择有误，提交后仍可进行修改。如下图：</w:t>
      </w:r>
    </w:p>
    <w:p>
      <w:pPr>
        <w:spacing w:line="360" w:lineRule="auto"/>
        <w:ind w:left="-141" w:leftChars="-67" w:firstLine="1"/>
        <w:jc w:val="center"/>
        <w:rPr>
          <w:szCs w:val="21"/>
        </w:rPr>
      </w:pPr>
      <w:r>
        <w:drawing>
          <wp:inline distT="0" distB="0" distL="0" distR="0">
            <wp:extent cx="5490210" cy="196723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a:stretch>
                      <a:fillRect/>
                    </a:stretch>
                  </pic:blipFill>
                  <pic:spPr>
                    <a:xfrm>
                      <a:off x="0" y="0"/>
                      <a:ext cx="5490210" cy="1967230"/>
                    </a:xfrm>
                    <a:prstGeom prst="rect">
                      <a:avLst/>
                    </a:prstGeom>
                  </pic:spPr>
                </pic:pic>
              </a:graphicData>
            </a:graphic>
          </wp:inline>
        </w:drawing>
      </w:r>
    </w:p>
    <w:p>
      <w:pPr>
        <w:numPr>
          <w:ilvl w:val="0"/>
          <w:numId w:val="3"/>
        </w:numPr>
        <w:spacing w:line="360" w:lineRule="auto"/>
        <w:rPr>
          <w:szCs w:val="21"/>
        </w:rPr>
      </w:pPr>
      <w:r>
        <w:rPr>
          <w:rFonts w:hint="eastAsia"/>
          <w:szCs w:val="21"/>
        </w:rPr>
        <w:t>操作步骤：修改类型，可进行批量修改，可进行单个修改。</w:t>
      </w:r>
    </w:p>
    <w:p>
      <w:pPr>
        <w:spacing w:line="360" w:lineRule="auto"/>
        <w:ind w:left="840"/>
        <w:rPr>
          <w:szCs w:val="21"/>
        </w:rPr>
      </w:pPr>
      <w:r>
        <w:rPr>
          <w:rFonts w:hint="eastAsia"/>
          <w:szCs w:val="21"/>
        </w:rPr>
        <w:t>流程管理—学生检测情况</w:t>
      </w:r>
      <w:r>
        <w:rPr>
          <w:szCs w:val="21"/>
        </w:rPr>
        <w:t>—</w:t>
      </w:r>
      <w:r>
        <w:rPr>
          <w:rFonts w:hint="eastAsia"/>
          <w:szCs w:val="21"/>
        </w:rPr>
        <w:t>点击修改类型。</w:t>
      </w:r>
    </w:p>
    <w:p>
      <w:pPr>
        <w:numPr>
          <w:ilvl w:val="0"/>
          <w:numId w:val="2"/>
        </w:numPr>
        <w:spacing w:line="360" w:lineRule="auto"/>
        <w:ind w:left="0" w:firstLine="420" w:firstLineChars="200"/>
        <w:rPr>
          <w:szCs w:val="21"/>
        </w:rPr>
      </w:pPr>
      <w:r>
        <w:rPr>
          <w:rFonts w:hint="eastAsia"/>
          <w:szCs w:val="21"/>
        </w:rPr>
        <w:t>撤销论文申请</w:t>
      </w:r>
    </w:p>
    <w:p>
      <w:pPr>
        <w:spacing w:line="360" w:lineRule="auto"/>
        <w:ind w:firstLine="420" w:firstLineChars="200"/>
        <w:rPr>
          <w:szCs w:val="21"/>
        </w:rPr>
      </w:pPr>
      <w:r>
        <w:rPr>
          <w:rFonts w:hint="eastAsia"/>
          <w:szCs w:val="21"/>
        </w:rPr>
        <w:t>撤销论文申请指上传的文档存在问题，需要向省学位办申请撤回并重新上传。例如，上传的文档有误，不是学生的最终稿件，需要撤回重新上传。如下图：</w:t>
      </w:r>
    </w:p>
    <w:p>
      <w:pPr>
        <w:spacing w:line="360" w:lineRule="auto"/>
        <w:rPr>
          <w:color w:val="FF0000"/>
          <w:szCs w:val="21"/>
        </w:rPr>
      </w:pPr>
      <w:r>
        <w:drawing>
          <wp:inline distT="0" distB="0" distL="0" distR="0">
            <wp:extent cx="5490210" cy="36461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4"/>
                    <a:stretch>
                      <a:fillRect/>
                    </a:stretch>
                  </pic:blipFill>
                  <pic:spPr>
                    <a:xfrm>
                      <a:off x="0" y="0"/>
                      <a:ext cx="5490210" cy="3646170"/>
                    </a:xfrm>
                    <a:prstGeom prst="rect">
                      <a:avLst/>
                    </a:prstGeom>
                  </pic:spPr>
                </pic:pic>
              </a:graphicData>
            </a:graphic>
          </wp:inline>
        </w:drawing>
      </w:r>
    </w:p>
    <w:p>
      <w:pPr>
        <w:numPr>
          <w:ilvl w:val="0"/>
          <w:numId w:val="3"/>
        </w:numPr>
        <w:spacing w:line="360" w:lineRule="auto"/>
        <w:rPr>
          <w:szCs w:val="21"/>
        </w:rPr>
      </w:pPr>
      <w:r>
        <w:rPr>
          <w:rFonts w:hint="eastAsia"/>
          <w:szCs w:val="21"/>
        </w:rPr>
        <w:t>操作步骤：特殊情况处理—撤销论文申请</w:t>
      </w:r>
      <w:r>
        <w:rPr>
          <w:szCs w:val="21"/>
        </w:rPr>
        <w:t>—</w:t>
      </w:r>
      <w:r>
        <w:rPr>
          <w:rFonts w:hint="eastAsia"/>
          <w:szCs w:val="21"/>
        </w:rPr>
        <w:t>撤销前需前往“学生检测情况”选择需要撤销的论文，并点击“批量撤销论文申请”按钮。</w:t>
      </w:r>
    </w:p>
    <w:p>
      <w:pPr>
        <w:spacing w:line="360" w:lineRule="auto"/>
        <w:ind w:firstLine="420" w:firstLineChars="200"/>
        <w:rPr>
          <w:color w:val="FF0000"/>
          <w:szCs w:val="21"/>
        </w:rPr>
      </w:pPr>
      <w:r>
        <w:rPr>
          <w:rFonts w:hint="eastAsia"/>
          <w:color w:val="FF0000"/>
          <w:szCs w:val="21"/>
        </w:rPr>
        <w:t>注意：该撤销操作需谨慎使用，一旦撤回，修改后必须重新上传。撤回申请前必须仔细阅读“相关提示”和“说明材料”的提示文字。撤回申请需要省学位办进行审核，审核通过后才可重新上传。</w:t>
      </w:r>
    </w:p>
    <w:p>
      <w:pPr>
        <w:numPr>
          <w:ilvl w:val="0"/>
          <w:numId w:val="1"/>
        </w:numPr>
        <w:rPr>
          <w:b/>
          <w:sz w:val="28"/>
          <w:szCs w:val="28"/>
        </w:rPr>
      </w:pPr>
      <w:r>
        <w:rPr>
          <w:rFonts w:hint="eastAsia"/>
          <w:b/>
          <w:sz w:val="28"/>
          <w:szCs w:val="28"/>
        </w:rPr>
        <w:t>推荐流程</w:t>
      </w:r>
    </w:p>
    <w:p>
      <w:pPr>
        <w:ind w:left="426" w:firstLine="294" w:firstLineChars="140"/>
        <w:rPr>
          <w:rFonts w:ascii="微软雅黑" w:hAnsi="微软雅黑" w:eastAsia="微软雅黑" w:cs="微软雅黑"/>
        </w:rPr>
      </w:pPr>
      <w:r>
        <w:rPr>
          <w:rFonts w:hint="eastAsia" w:ascii="微软雅黑" w:hAnsi="微软雅黑" w:eastAsia="微软雅黑" w:cs="微软雅黑"/>
        </w:rPr>
        <w:t>推荐流程：学校管理员导入院系，设置检测通过标准&gt;&gt;导入院系管理员账号&gt;&gt;院系管理员导入专业和班级&gt;&gt;院系管理员导入学生基本信息&gt;&gt;院系管理员上传学生论文进行检测&gt;&gt;学位设置&gt;&gt;学校管理员进行统计分析。</w:t>
      </w:r>
    </w:p>
    <w:p>
      <w:pPr>
        <w:ind w:left="426" w:firstLine="294" w:firstLineChars="140"/>
        <w:rPr>
          <w:rFonts w:ascii="微软雅黑" w:hAnsi="微软雅黑" w:eastAsia="微软雅黑" w:cs="微软雅黑"/>
          <w:b/>
          <w:color w:val="FF0000"/>
        </w:rPr>
      </w:pPr>
      <w:r>
        <w:rPr>
          <w:rFonts w:hint="eastAsia" w:ascii="微软雅黑" w:hAnsi="微软雅黑" w:eastAsia="微软雅黑" w:cs="微软雅黑"/>
          <w:b/>
          <w:color w:val="FF0000"/>
        </w:rPr>
        <w:t>（1）双学位的高校：</w:t>
      </w:r>
    </w:p>
    <w:p>
      <w:pPr>
        <w:spacing w:line="360" w:lineRule="auto"/>
        <w:ind w:left="426" w:firstLine="308" w:firstLineChars="140"/>
        <w:rPr>
          <w:rFonts w:ascii="微软雅黑" w:hAnsi="微软雅黑" w:eastAsia="微软雅黑"/>
          <w:color w:val="FF0000"/>
          <w:sz w:val="20"/>
          <w:szCs w:val="20"/>
        </w:rPr>
      </w:pPr>
      <w:r>
        <w:rPr>
          <w:rFonts w:hint="eastAsia"/>
          <w:b/>
          <w:bCs/>
          <w:color w:val="FF0000"/>
          <w:sz w:val="22"/>
          <w:szCs w:val="28"/>
        </w:rPr>
        <w:t>院系管理员导入非双学位学生基本信息后，学校管理员将双学位的学生基础信息按照双学位的要求进行导入即可。</w:t>
      </w:r>
      <w:r>
        <w:rPr>
          <w:rFonts w:hint="eastAsia" w:ascii="微软雅黑" w:hAnsi="微软雅黑" w:eastAsia="微软雅黑"/>
          <w:color w:val="FF0000"/>
          <w:sz w:val="20"/>
          <w:szCs w:val="20"/>
        </w:rPr>
        <w:t>双学位学生所属班级请用英文“;”隔开，例如：计算机科学与技术01;信息管理系统01。</w:t>
      </w:r>
    </w:p>
    <w:p>
      <w:pPr>
        <w:spacing w:line="360" w:lineRule="auto"/>
        <w:ind w:left="426" w:firstLine="308" w:firstLineChars="140"/>
        <w:rPr>
          <w:bCs/>
          <w:sz w:val="22"/>
          <w:szCs w:val="28"/>
        </w:rPr>
      </w:pPr>
      <w:r>
        <w:rPr>
          <w:rFonts w:hint="eastAsia"/>
          <w:bCs/>
          <w:sz w:val="22"/>
          <w:szCs w:val="28"/>
        </w:rPr>
        <w:t>（2）导入学院管理员账号时，不需要给各院系分配次数，每个学生消耗的次数都是学校管理员次数。</w:t>
      </w:r>
    </w:p>
    <w:p>
      <w:pPr>
        <w:spacing w:line="360" w:lineRule="auto"/>
        <w:ind w:left="426" w:firstLine="308" w:firstLineChars="140"/>
        <w:rPr>
          <w:bCs/>
          <w:sz w:val="22"/>
          <w:szCs w:val="28"/>
        </w:rPr>
      </w:pPr>
      <w:r>
        <w:rPr>
          <w:rFonts w:hint="eastAsia"/>
          <w:bCs/>
          <w:sz w:val="22"/>
          <w:szCs w:val="28"/>
        </w:rPr>
        <w:t>（3）文档提交时要注意分类，是论文还是设计还是作品阐述/创作报告。</w:t>
      </w:r>
    </w:p>
    <w:p>
      <w:pPr>
        <w:spacing w:line="360" w:lineRule="auto"/>
        <w:ind w:left="426" w:firstLine="294" w:firstLineChars="140"/>
        <w:rPr>
          <w:bCs/>
          <w:sz w:val="22"/>
          <w:szCs w:val="28"/>
        </w:rPr>
      </w:pPr>
      <w:r>
        <w:drawing>
          <wp:inline distT="0" distB="0" distL="0" distR="0">
            <wp:extent cx="4787265" cy="23133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5"/>
                    <a:stretch>
                      <a:fillRect/>
                    </a:stretch>
                  </pic:blipFill>
                  <pic:spPr>
                    <a:xfrm>
                      <a:off x="0" y="0"/>
                      <a:ext cx="4787844" cy="2313626"/>
                    </a:xfrm>
                    <a:prstGeom prst="rect">
                      <a:avLst/>
                    </a:prstGeom>
                  </pic:spPr>
                </pic:pic>
              </a:graphicData>
            </a:graphic>
          </wp:inline>
        </w:drawing>
      </w:r>
    </w:p>
    <w:p>
      <w:pPr>
        <w:numPr>
          <w:ilvl w:val="0"/>
          <w:numId w:val="1"/>
        </w:numPr>
        <w:rPr>
          <w:b/>
          <w:sz w:val="28"/>
          <w:szCs w:val="28"/>
        </w:rPr>
      </w:pPr>
      <w:r>
        <w:rPr>
          <w:rFonts w:hint="eastAsia"/>
          <w:b/>
          <w:sz w:val="28"/>
          <w:szCs w:val="28"/>
        </w:rPr>
        <w:t>关于学位设置</w:t>
      </w:r>
    </w:p>
    <w:p>
      <w:pPr>
        <w:ind w:left="720" w:firstLine="420" w:firstLineChars="200"/>
        <w:rPr>
          <w:rFonts w:ascii="微软雅黑" w:hAnsi="微软雅黑" w:eastAsia="微软雅黑" w:cs="微软雅黑"/>
        </w:rPr>
      </w:pPr>
      <w:r>
        <w:rPr>
          <w:rFonts w:hint="eastAsia" w:ascii="微软雅黑" w:hAnsi="微软雅黑" w:eastAsia="微软雅黑" w:cs="微软雅黑"/>
        </w:rPr>
        <w:t>学位设置不影响各高校的论文/设计/作品阐述/创作报告（以下简称“文本”）上传，学位设置是本届所有的文本上传结束后，再提交学位及学位证编号，与学生的学号进行匹配。如学生由于文本本身的原因（例如，通过率不符合学校要求，文本内容有问题，或该学生休学无法提交文本等原因）无法授予学位，该学生的文本不用提交至平台，不用进行学位设置，待学生原因解决后，再提交，可跟随下一届的学生进行工作；如学生由于考试不及格或其他原因和文本本身无关，无法授予学位的情况，该学生的文本可提交至平台，待补考通过后，再补充学位设置即可。</w:t>
      </w:r>
    </w:p>
    <w:p>
      <w:pPr>
        <w:ind w:left="360"/>
      </w:pPr>
    </w:p>
    <w:sectPr>
      <w:headerReference r:id="rId3" w:type="default"/>
      <w:footerReference r:id="rId4" w:type="default"/>
      <w:pgSz w:w="11906" w:h="16838"/>
      <w:pgMar w:top="1440" w:right="1700"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4069651"/>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pPr>
    <w:r>
      <w:rPr>
        <w:rFonts w:hint="eastAsia"/>
      </w:rPr>
      <w:t>河北省学士学位论文管理平台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E239D"/>
    <w:multiLevelType w:val="multilevel"/>
    <w:tmpl w:val="30BE239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B363A5B"/>
    <w:multiLevelType w:val="multilevel"/>
    <w:tmpl w:val="3B363A5B"/>
    <w:lvl w:ilvl="0" w:tentative="0">
      <w:start w:val="1"/>
      <w:numFmt w:val="decimal"/>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2">
    <w:nsid w:val="658D2F07"/>
    <w:multiLevelType w:val="multilevel"/>
    <w:tmpl w:val="658D2F07"/>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EC8"/>
    <w:rsid w:val="00034766"/>
    <w:rsid w:val="000407A7"/>
    <w:rsid w:val="00041C27"/>
    <w:rsid w:val="000E3416"/>
    <w:rsid w:val="00106C0D"/>
    <w:rsid w:val="001401E5"/>
    <w:rsid w:val="00164191"/>
    <w:rsid w:val="001720C8"/>
    <w:rsid w:val="00181A39"/>
    <w:rsid w:val="001E2C4B"/>
    <w:rsid w:val="00217553"/>
    <w:rsid w:val="00286855"/>
    <w:rsid w:val="002C2144"/>
    <w:rsid w:val="002F3EBB"/>
    <w:rsid w:val="00325190"/>
    <w:rsid w:val="00344EC8"/>
    <w:rsid w:val="00362D7D"/>
    <w:rsid w:val="003807D1"/>
    <w:rsid w:val="0038747D"/>
    <w:rsid w:val="00395574"/>
    <w:rsid w:val="003F61EF"/>
    <w:rsid w:val="004A75E7"/>
    <w:rsid w:val="00500A29"/>
    <w:rsid w:val="005316A1"/>
    <w:rsid w:val="00552744"/>
    <w:rsid w:val="0056270E"/>
    <w:rsid w:val="005B17E3"/>
    <w:rsid w:val="005B6CBE"/>
    <w:rsid w:val="005C5B33"/>
    <w:rsid w:val="0070115C"/>
    <w:rsid w:val="00734693"/>
    <w:rsid w:val="007B2961"/>
    <w:rsid w:val="007F5429"/>
    <w:rsid w:val="0081522E"/>
    <w:rsid w:val="008317FE"/>
    <w:rsid w:val="00831E24"/>
    <w:rsid w:val="00844B04"/>
    <w:rsid w:val="008C281E"/>
    <w:rsid w:val="008E3AA6"/>
    <w:rsid w:val="009C3159"/>
    <w:rsid w:val="00A420EE"/>
    <w:rsid w:val="00B15D94"/>
    <w:rsid w:val="00B21F8E"/>
    <w:rsid w:val="00B24408"/>
    <w:rsid w:val="00B6191F"/>
    <w:rsid w:val="00BA1FE0"/>
    <w:rsid w:val="00BB3C74"/>
    <w:rsid w:val="00BB7535"/>
    <w:rsid w:val="00C01599"/>
    <w:rsid w:val="00C17D46"/>
    <w:rsid w:val="00C31CE2"/>
    <w:rsid w:val="00C35035"/>
    <w:rsid w:val="00C56CF9"/>
    <w:rsid w:val="00D352FB"/>
    <w:rsid w:val="00D56D8C"/>
    <w:rsid w:val="00D60708"/>
    <w:rsid w:val="00E1299F"/>
    <w:rsid w:val="00E1426B"/>
    <w:rsid w:val="00EE1DDF"/>
    <w:rsid w:val="00EE5A17"/>
    <w:rsid w:val="00F6136B"/>
    <w:rsid w:val="00F80FF7"/>
    <w:rsid w:val="1E3A0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endnote text"/>
    <w:basedOn w:val="1"/>
    <w:link w:val="12"/>
    <w:semiHidden/>
    <w:unhideWhenUsed/>
    <w:uiPriority w:val="99"/>
    <w:pPr>
      <w:snapToGrid w:val="0"/>
      <w:jc w:val="left"/>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3"/>
    <w:semiHidden/>
    <w:unhideWhenUsed/>
    <w:qFormat/>
    <w:uiPriority w:val="99"/>
    <w:pPr>
      <w:snapToGrid w:val="0"/>
      <w:jc w:val="left"/>
    </w:pPr>
    <w:rPr>
      <w:sz w:val="18"/>
      <w:szCs w:val="18"/>
    </w:rPr>
  </w:style>
  <w:style w:type="character" w:styleId="8">
    <w:name w:val="endnote reference"/>
    <w:basedOn w:val="7"/>
    <w:semiHidden/>
    <w:unhideWhenUsed/>
    <w:uiPriority w:val="99"/>
    <w:rPr>
      <w:vertAlign w:val="superscript"/>
    </w:rPr>
  </w:style>
  <w:style w:type="character" w:styleId="9">
    <w:name w:val="footnote reference"/>
    <w:basedOn w:val="7"/>
    <w:semiHidden/>
    <w:unhideWhenUsed/>
    <w:qFormat/>
    <w:uiPriority w:val="99"/>
    <w:rPr>
      <w:vertAlign w:val="superscript"/>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尾注文本 字符"/>
    <w:basedOn w:val="7"/>
    <w:link w:val="2"/>
    <w:semiHidden/>
    <w:uiPriority w:val="99"/>
  </w:style>
  <w:style w:type="character" w:customStyle="1" w:styleId="13">
    <w:name w:val="脚注文本 字符"/>
    <w:basedOn w:val="7"/>
    <w:link w:val="5"/>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95D34A-B710-4C58-A72C-661E3F47F3CD}">
  <ds:schemaRefs/>
</ds:datastoreItem>
</file>

<file path=docProps/app.xml><?xml version="1.0" encoding="utf-8"?>
<Properties xmlns="http://schemas.openxmlformats.org/officeDocument/2006/extended-properties" xmlns:vt="http://schemas.openxmlformats.org/officeDocument/2006/docPropsVTypes">
  <Template>Normal</Template>
  <Pages>6</Pages>
  <Words>231</Words>
  <Characters>1319</Characters>
  <Lines>10</Lines>
  <Paragraphs>3</Paragraphs>
  <TotalTime>218</TotalTime>
  <ScaleCrop>false</ScaleCrop>
  <LinksUpToDate>false</LinksUpToDate>
  <CharactersWithSpaces>1547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2020-04-19T21:25:00Z</dcterms:created>
  <dc:creator>yajun cheng</dc:creator>
  <cp:lastModifiedBy>娟娟</cp:lastModifiedBy>
  <dcterms:modified xsi:type="dcterms:W3CDTF">2021-05-26T08:09:51Z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