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河北大学第三批“精品实验项目”验收答辩安排</w:t>
      </w:r>
    </w:p>
    <w:p>
      <w:pPr>
        <w:jc w:val="both"/>
        <w:rPr>
          <w:rFonts w:hint="eastAsia" w:ascii="宋体" w:hAnsi="宋体" w:cs="宋体"/>
          <w:b/>
          <w:bCs/>
          <w:color w:val="000000"/>
          <w:kern w:val="0"/>
          <w:sz w:val="24"/>
          <w:lang w:eastAsia="zh-CN" w:bidi="ar"/>
        </w:rPr>
      </w:pPr>
    </w:p>
    <w:p>
      <w:pPr>
        <w:jc w:val="both"/>
        <w:rPr>
          <w:rFonts w:hint="eastAsia" w:ascii="宋体" w:hAnsi="宋体" w:eastAsia="宋体" w:cs="宋体"/>
          <w:b/>
          <w:bCs/>
          <w:color w:val="000000"/>
          <w:kern w:val="0"/>
          <w:sz w:val="30"/>
          <w:szCs w:val="30"/>
          <w:lang w:eastAsia="zh-CN" w:bidi="ar"/>
        </w:rPr>
      </w:pPr>
      <w:r>
        <w:rPr>
          <w:rFonts w:hint="eastAsia" w:ascii="宋体" w:hAnsi="宋体" w:cs="宋体"/>
          <w:b/>
          <w:bCs/>
          <w:color w:val="000000"/>
          <w:kern w:val="0"/>
          <w:sz w:val="30"/>
          <w:szCs w:val="30"/>
          <w:lang w:eastAsia="zh-CN" w:bidi="ar"/>
        </w:rPr>
        <w:t>一、文理工组</w:t>
      </w:r>
    </w:p>
    <w:p>
      <w:pPr>
        <w:jc w:val="center"/>
        <w:rPr>
          <w:rFonts w:hint="eastAsia"/>
        </w:rPr>
      </w:pPr>
    </w:p>
    <w:tbl>
      <w:tblPr>
        <w:tblStyle w:val="2"/>
        <w:tblW w:w="9611" w:type="dxa"/>
        <w:jc w:val="center"/>
        <w:tblLayout w:type="fixed"/>
        <w:tblCellMar>
          <w:top w:w="0" w:type="dxa"/>
          <w:left w:w="108" w:type="dxa"/>
          <w:bottom w:w="0" w:type="dxa"/>
          <w:right w:w="108" w:type="dxa"/>
        </w:tblCellMar>
      </w:tblPr>
      <w:tblGrid>
        <w:gridCol w:w="1830"/>
        <w:gridCol w:w="2291"/>
        <w:gridCol w:w="3260"/>
        <w:gridCol w:w="992"/>
        <w:gridCol w:w="1238"/>
      </w:tblGrid>
      <w:tr>
        <w:tblPrEx>
          <w:tblCellMar>
            <w:top w:w="0" w:type="dxa"/>
            <w:left w:w="108" w:type="dxa"/>
            <w:bottom w:w="0" w:type="dxa"/>
            <w:right w:w="108" w:type="dxa"/>
          </w:tblCellMar>
        </w:tblPrEx>
        <w:trPr>
          <w:trHeight w:val="378" w:hRule="atLeast"/>
          <w:jc w:val="center"/>
        </w:trPr>
        <w:tc>
          <w:tcPr>
            <w:tcW w:w="1830"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center"/>
              <w:rPr>
                <w:rFonts w:ascii="宋体" w:hAnsi="宋体" w:cs="宋体"/>
                <w:b/>
                <w:bCs/>
                <w:color w:val="000000"/>
                <w:sz w:val="24"/>
              </w:rPr>
            </w:pPr>
            <w:r>
              <w:rPr>
                <w:rFonts w:hint="eastAsia" w:ascii="宋体" w:hAnsi="宋体" w:cs="宋体"/>
                <w:b/>
                <w:bCs/>
                <w:color w:val="000000"/>
                <w:kern w:val="0"/>
                <w:sz w:val="24"/>
                <w:lang w:bidi="ar"/>
              </w:rPr>
              <w:t>项目编号</w:t>
            </w:r>
          </w:p>
        </w:tc>
        <w:tc>
          <w:tcPr>
            <w:tcW w:w="2291" w:type="dxa"/>
            <w:tcBorders>
              <w:top w:val="single" w:color="000000" w:sz="4" w:space="0"/>
              <w:left w:val="nil"/>
              <w:bottom w:val="single" w:color="000000" w:sz="4" w:space="0"/>
              <w:right w:val="single" w:color="000000" w:sz="4" w:space="0"/>
            </w:tcBorders>
            <w:vAlign w:val="bottom"/>
          </w:tcPr>
          <w:p>
            <w:pPr>
              <w:widowControl/>
              <w:textAlignment w:val="bottom"/>
              <w:rPr>
                <w:rFonts w:ascii="宋体" w:hAnsi="宋体" w:cs="宋体"/>
                <w:b/>
                <w:bCs/>
                <w:color w:val="000000"/>
                <w:sz w:val="24"/>
              </w:rPr>
            </w:pPr>
            <w:r>
              <w:rPr>
                <w:rFonts w:hint="eastAsia" w:ascii="宋体" w:hAnsi="宋体" w:cs="宋体"/>
                <w:b/>
                <w:bCs/>
                <w:color w:val="000000"/>
                <w:kern w:val="0"/>
                <w:sz w:val="24"/>
                <w:lang w:bidi="ar"/>
              </w:rPr>
              <w:t>单位名称</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w:t>
            </w:r>
            <w:bookmarkStart w:id="0" w:name="_GoBack"/>
            <w:bookmarkEnd w:id="0"/>
            <w:r>
              <w:rPr>
                <w:rFonts w:hint="eastAsia" w:ascii="宋体" w:hAnsi="宋体" w:cs="宋体"/>
                <w:b/>
                <w:bCs/>
                <w:color w:val="000000"/>
                <w:kern w:val="0"/>
                <w:sz w:val="24"/>
                <w:lang w:bidi="ar"/>
              </w:rPr>
              <w:t>名称</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b/>
                <w:bCs/>
                <w:color w:val="000000"/>
                <w:sz w:val="24"/>
              </w:rPr>
            </w:pPr>
            <w:r>
              <w:rPr>
                <w:rFonts w:hint="eastAsia" w:ascii="宋体" w:hAnsi="宋体" w:cs="宋体"/>
                <w:b/>
                <w:bCs/>
                <w:color w:val="000000"/>
                <w:kern w:val="0"/>
                <w:sz w:val="24"/>
                <w:lang w:bidi="ar"/>
              </w:rPr>
              <w:t>负责人</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时间安排</w:t>
            </w:r>
          </w:p>
        </w:tc>
      </w:tr>
      <w:tr>
        <w:tblPrEx>
          <w:tblCellMar>
            <w:top w:w="0" w:type="dxa"/>
            <w:left w:w="108" w:type="dxa"/>
            <w:bottom w:w="0" w:type="dxa"/>
            <w:right w:w="108" w:type="dxa"/>
          </w:tblCellMar>
        </w:tblPrEx>
        <w:trPr>
          <w:trHeight w:val="384"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文科综合实验中心</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初创企业运营与管理</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许峥</w:t>
            </w:r>
          </w:p>
        </w:tc>
        <w:tc>
          <w:tcPr>
            <w:tcW w:w="12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9：20</w:t>
            </w:r>
          </w:p>
        </w:tc>
      </w:tr>
      <w:tr>
        <w:tblPrEx>
          <w:tblCellMar>
            <w:top w:w="0" w:type="dxa"/>
            <w:left w:w="108" w:type="dxa"/>
            <w:bottom w:w="0" w:type="dxa"/>
            <w:right w:w="108" w:type="dxa"/>
          </w:tblCellMar>
        </w:tblPrEx>
        <w:trPr>
          <w:trHeight w:val="9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新闻传播学院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燕赵文化纪实短视频实践创作项目</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谷雨</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管理学院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文本信息采集与处理</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史海燕</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管理学院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智能财务虚拟仿真实验</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孔维伟</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经济学院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商业银行经营决策虚拟仿真实验</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李浩然</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经济学院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微支付数据的信息挖掘与分析</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田雅娟</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7"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哲学与社会学学院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青少年矫正社会工作实验   </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王斌 </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教育学院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SPSS</w:t>
            </w:r>
            <w:r>
              <w:rPr>
                <w:rStyle w:val="4"/>
                <w:rFonts w:hint="default"/>
                <w:lang w:bidi="ar"/>
              </w:rPr>
              <w:t>在创造力系列实验中的应用</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张克</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2021-BZ-JPSY09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教育学院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不同情境更新方式对文本中人物活动回忆的多重影响</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仝宇光</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2021-BZ-JPSY10</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艺术学院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环境艺术设计实践课程——涠洲岛精品度假酒店设计实践项目</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田野</w:t>
            </w:r>
          </w:p>
        </w:tc>
        <w:tc>
          <w:tcPr>
            <w:tcW w:w="1238" w:type="dxa"/>
            <w:vMerge w:val="continue"/>
            <w:tcBorders>
              <w:left w:val="single" w:color="000000" w:sz="4" w:space="0"/>
              <w:bottom w:val="nil"/>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数学与信息科学学院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w:t>
            </w:r>
            <w:r>
              <w:rPr>
                <w:rStyle w:val="5"/>
                <w:lang w:bidi="ar"/>
              </w:rPr>
              <w:t>Matlab</w:t>
            </w:r>
            <w:r>
              <w:rPr>
                <w:rStyle w:val="4"/>
                <w:rFonts w:hint="default"/>
                <w:lang w:bidi="ar"/>
              </w:rPr>
              <w:t>的高等数学实验设计</w:t>
            </w:r>
          </w:p>
        </w:tc>
        <w:tc>
          <w:tcPr>
            <w:tcW w:w="99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董春茹</w:t>
            </w:r>
          </w:p>
        </w:tc>
        <w:tc>
          <w:tcPr>
            <w:tcW w:w="12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9：20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10：</w:t>
            </w:r>
            <w:r>
              <w:rPr>
                <w:rFonts w:hint="eastAsia" w:ascii="宋体" w:hAnsi="宋体" w:cs="宋体"/>
                <w:color w:val="000000"/>
                <w:kern w:val="0"/>
                <w:sz w:val="22"/>
                <w:szCs w:val="22"/>
                <w:lang w:val="en-US" w:eastAsia="zh-CN" w:bidi="ar"/>
              </w:rPr>
              <w:t>10</w:t>
            </w:r>
          </w:p>
        </w:tc>
      </w:tr>
      <w:tr>
        <w:tblPrEx>
          <w:tblCellMar>
            <w:top w:w="0" w:type="dxa"/>
            <w:left w:w="108" w:type="dxa"/>
            <w:bottom w:w="0" w:type="dxa"/>
            <w:right w:w="108" w:type="dxa"/>
          </w:tblCellMar>
        </w:tblPrEx>
        <w:trPr>
          <w:trHeight w:val="413"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数学与信息科学学院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基于交易数据的金融信息挖掘</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李洪亮</w:t>
            </w:r>
          </w:p>
        </w:tc>
        <w:tc>
          <w:tcPr>
            <w:tcW w:w="1238" w:type="dxa"/>
            <w:vMerge w:val="continue"/>
            <w:tcBorders>
              <w:left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p>
        </w:tc>
      </w:tr>
      <w:tr>
        <w:tblPrEx>
          <w:tblCellMar>
            <w:top w:w="0" w:type="dxa"/>
            <w:left w:w="108" w:type="dxa"/>
            <w:bottom w:w="0" w:type="dxa"/>
            <w:right w:w="108" w:type="dxa"/>
          </w:tblCellMar>
        </w:tblPrEx>
        <w:trPr>
          <w:trHeight w:val="452"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数学与信息科学学院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电影推荐系统的设计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谢博鋆</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数学与信息科学学院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后疫情时代基于大数据的数字经济发展分析</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湛燕</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建筑工程学院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基于VR交互技术在建筑设计课程中的应用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张元文</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73"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建筑工程学院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钢筋混凝土构件自主型实验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辛勤</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物理科学与技术学院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高灵敏度双光纤光栅应变传感器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冯亭</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物理科学与技术学院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荧光粉发光性能测试</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李旭</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9"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2021-BZ-JPSY19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物理科学与技术学院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热敏技术专题案例式教学实践</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田晓东</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2021-BZ-JPSY20</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物理科学与技术学院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生物胁迫光源的设计与检测</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杨景发</w:t>
            </w:r>
          </w:p>
        </w:tc>
        <w:tc>
          <w:tcPr>
            <w:tcW w:w="123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4"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质量技术监督学院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汽车万向节实验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孙辉</w:t>
            </w:r>
          </w:p>
        </w:tc>
        <w:tc>
          <w:tcPr>
            <w:tcW w:w="1238"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jc w:val="center"/>
              <w:rPr>
                <w:rFonts w:ascii="宋体" w:hAnsi="宋体" w:cs="宋体"/>
                <w:color w:val="000000"/>
                <w:sz w:val="22"/>
                <w:szCs w:val="22"/>
              </w:rPr>
            </w:pP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jc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15</w:t>
            </w: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质量技术监督学院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现代数据分析技术在光谱分析中的应用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夏立娅</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16"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质量技术监督学院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不同含碳量与热处理钢铁材料显微组织分析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董小平</w:t>
            </w:r>
          </w:p>
        </w:tc>
        <w:tc>
          <w:tcPr>
            <w:tcW w:w="123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349"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质量技术监督学院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负泊松比超结构的力学实验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马连华</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24"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电子信息工程学院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冲击高压虚拟仿真实验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刘志恒</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16"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电子信息工程学院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直流稳压电源设计实验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李敏</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电子信息工程学院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基于单片机的等精度频率计设计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王虹</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电子信息工程学院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面向医学影像数据的图像分割算法设计与评价实验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杨建利</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2021-BZ-JPSY29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网络空间安全与计算机学院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基于Scratch的程序设计初探</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刘凡鸣 </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2021-BZ-JPSY30</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网络空间安全与计算机学院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单周期处理器设计与实现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宋鑫</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网络空间安全与计算机学院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基于FPGA的矩阵运算器设计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左丽娜 </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计算机教学部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基于艺术设计的PowerPoint综合实验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胡雅颖 </w:t>
            </w:r>
          </w:p>
        </w:tc>
        <w:tc>
          <w:tcPr>
            <w:tcW w:w="123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计算机教学部</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Excel2016数据处理数据分析综合实验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支高英 </w:t>
            </w:r>
          </w:p>
        </w:tc>
        <w:tc>
          <w:tcPr>
            <w:tcW w:w="123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bl>
    <w:p/>
    <w:p>
      <w:pPr>
        <w:jc w:val="both"/>
        <w:rPr>
          <w:rFonts w:hint="eastAsia" w:ascii="宋体" w:hAnsi="宋体" w:cs="宋体"/>
          <w:b/>
          <w:bCs/>
          <w:color w:val="000000"/>
          <w:kern w:val="0"/>
          <w:sz w:val="30"/>
          <w:szCs w:val="30"/>
          <w:lang w:eastAsia="zh-CN" w:bidi="ar"/>
        </w:rPr>
      </w:pPr>
      <w:r>
        <w:rPr>
          <w:rFonts w:hint="eastAsia" w:ascii="宋体" w:hAnsi="宋体" w:cs="宋体"/>
          <w:b/>
          <w:bCs/>
          <w:color w:val="000000"/>
          <w:kern w:val="0"/>
          <w:sz w:val="30"/>
          <w:szCs w:val="30"/>
          <w:lang w:eastAsia="zh-CN" w:bidi="ar"/>
        </w:rPr>
        <w:t>二、生化医组</w:t>
      </w:r>
    </w:p>
    <w:p/>
    <w:tbl>
      <w:tblPr>
        <w:tblStyle w:val="2"/>
        <w:tblW w:w="9351" w:type="dxa"/>
        <w:jc w:val="center"/>
        <w:tblLayout w:type="fixed"/>
        <w:tblCellMar>
          <w:top w:w="0" w:type="dxa"/>
          <w:left w:w="108" w:type="dxa"/>
          <w:bottom w:w="0" w:type="dxa"/>
          <w:right w:w="108" w:type="dxa"/>
        </w:tblCellMar>
      </w:tblPr>
      <w:tblGrid>
        <w:gridCol w:w="1830"/>
        <w:gridCol w:w="2291"/>
        <w:gridCol w:w="3260"/>
        <w:gridCol w:w="992"/>
        <w:gridCol w:w="978"/>
      </w:tblGrid>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药学院 </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紫杉醇荧光标记与定量分析</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温嘉 </w:t>
            </w:r>
          </w:p>
        </w:tc>
        <w:tc>
          <w:tcPr>
            <w:tcW w:w="9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：30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20</w:t>
            </w: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化学与环境科学学院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硝酸银氧化邻烯基苯胺的氧砜化反应实验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李泽江</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化学与环境科学学院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差分脉冲伏安法检测对乙酰氨基酚研究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张宇帆</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7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化学与环境科学学院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理论与实验结合的综合性实验探索</w:t>
            </w:r>
            <w:r>
              <w:rPr>
                <w:rStyle w:val="5"/>
                <w:lang w:bidi="ar"/>
              </w:rPr>
              <w:t>-</w:t>
            </w:r>
            <w:r>
              <w:rPr>
                <w:rStyle w:val="4"/>
                <w:rFonts w:hint="default"/>
                <w:lang w:bidi="ar"/>
              </w:rPr>
              <w:t>以乙酸乙酯皂化反应为例</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张春芳</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化学与环境科学学院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膜生物反应器处理生活污水工艺运行研究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李慧</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7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2021-BZ-JPSY39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化学与环境科学学院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GC-MS/MS</w:t>
            </w:r>
            <w:r>
              <w:rPr>
                <w:rStyle w:val="4"/>
                <w:rFonts w:hint="default"/>
                <w:lang w:bidi="ar"/>
              </w:rPr>
              <w:t>法测定乌龙茶中</w:t>
            </w:r>
            <w:r>
              <w:rPr>
                <w:rStyle w:val="5"/>
                <w:lang w:bidi="ar"/>
              </w:rPr>
              <w:t>5</w:t>
            </w:r>
            <w:r>
              <w:rPr>
                <w:rStyle w:val="4"/>
                <w:rFonts w:hint="default"/>
                <w:lang w:bidi="ar"/>
              </w:rPr>
              <w:t>种氨基甲酸酯类农药的污染特征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王美</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2021-BZ-JPSY40</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生命科学院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细菌丝氨酸羟甲基转移酶表达、亲和纯化、免疫印迹及酶学性质的研究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葛欣</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生命科学院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鸡卵的人工孵育和鸡胚发育观察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张晗</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生命科学院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实时定量</w:t>
            </w:r>
            <w:r>
              <w:rPr>
                <w:rStyle w:val="5"/>
                <w:lang w:bidi="ar"/>
              </w:rPr>
              <w:t>PCR</w:t>
            </w:r>
            <w:r>
              <w:rPr>
                <w:rStyle w:val="4"/>
                <w:rFonts w:hint="default"/>
                <w:lang w:bidi="ar"/>
              </w:rPr>
              <w:t>检测水稻条纹病毒</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魏丽亚</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生命科学院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人类性别决定基因（SRY）的遗传分析</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张书玲</w:t>
            </w:r>
          </w:p>
        </w:tc>
        <w:tc>
          <w:tcPr>
            <w:tcW w:w="97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公共卫生学院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不同类型生活饮用水中金属和非金属离子的检测</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王志强 </w:t>
            </w:r>
          </w:p>
        </w:tc>
        <w:tc>
          <w:tcPr>
            <w:tcW w:w="9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jc w:val="center"/>
              <w:rPr>
                <w:rFonts w:ascii="宋体" w:hAnsi="宋体" w:cs="宋体"/>
                <w:color w:val="000000"/>
                <w:sz w:val="22"/>
                <w:szCs w:val="22"/>
              </w:rPr>
            </w:pP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0</w:t>
            </w: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公共卫生学院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微波消解-电感耦合等离子发射光谱法同时测定食品中铅、铜、锌的含量</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辛雪莲</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公共卫生学院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NaH2PO4和Na2HPO4混合物中各组分的含量测定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杨晓溪</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公共卫生学院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室内环境空气中甲醛含量的测定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张宪 </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肉灵芝提取物对小鼠免疫细胞增殖功能的影响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王蓓</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2021-BZ-JPSY49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小鼠肝脏组织总蛋白提取及含量测定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李文娟</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2021-BZ-JPSY50</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聚丙烯酰胺凝胶电泳分离血清蛋白质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靳祎</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2021-BZ-JPSY51</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电刺激与药物对家兔动脉血压的调节</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刘莉</w:t>
            </w:r>
          </w:p>
        </w:tc>
        <w:tc>
          <w:tcPr>
            <w:tcW w:w="978"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2021-BZ-JPSY52</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血液流变</w:t>
            </w:r>
            <w:r>
              <w:rPr>
                <w:rStyle w:val="4"/>
                <w:rFonts w:hint="default"/>
                <w:lang w:bidi="ar"/>
              </w:rPr>
              <w:t>学结合PDD对早期结肠癌的诊断研究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赵占娟</w:t>
            </w:r>
          </w:p>
        </w:tc>
        <w:tc>
          <w:tcPr>
            <w:tcW w:w="978"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2021-BZ-JPSY53</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临床医学院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三维可视化结合虚拟仿真外科实践课程</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李靖华</w:t>
            </w:r>
          </w:p>
        </w:tc>
        <w:tc>
          <w:tcPr>
            <w:tcW w:w="97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2021-BZ-JPSY54</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临床医学院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TBL教学与案例教学相结合在循环系统护理实践课中的应用效果研究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冯翠娜</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hint="eastAsia" w:ascii="宋体" w:hAnsi="宋体" w:cs="宋体"/>
                <w:color w:val="000000"/>
                <w:kern w:val="0"/>
                <w:sz w:val="22"/>
                <w:szCs w:val="22"/>
                <w:lang w:val="en-US" w:eastAsia="zh-CN" w:bidi="ar"/>
              </w:rPr>
            </w:pP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0</w:t>
            </w:r>
          </w:p>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p>
          <w:p>
            <w:pPr>
              <w:jc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：45</w:t>
            </w: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2021-BZ-JPSY55</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临床医学院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模拟教学在眼科学实践教学中的应用研究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陈光</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2021-BZ-JPSY56</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临床医学院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模拟教学在消化科实习教学中的应用研究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王阳阳</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2021-BZ-JPSY57</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中医学院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应用DNA条形码技术鉴定药用植物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刘蒙蒙</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2021-BZ-JPSY58</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中医学院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不同厂家黄连上清片中指标性成分的含量比较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穆亚娟</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2021-BZ-JPSY59</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中医学院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河北大学医学部中草药赏析园内药用植物的布局设计及微信公众平台建设</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张百霞</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2021-BZ-JPSY60</w:t>
            </w:r>
          </w:p>
        </w:tc>
        <w:tc>
          <w:tcPr>
            <w:tcW w:w="229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中医学院</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补虚中药临床实训</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李远</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D3"/>
    <w:rsid w:val="00095232"/>
    <w:rsid w:val="003074D3"/>
    <w:rsid w:val="00710463"/>
    <w:rsid w:val="05DB6786"/>
    <w:rsid w:val="12BB56E3"/>
    <w:rsid w:val="15D97673"/>
    <w:rsid w:val="19E4329E"/>
    <w:rsid w:val="21772F9F"/>
    <w:rsid w:val="29A71AF8"/>
    <w:rsid w:val="2B9B21F1"/>
    <w:rsid w:val="316538F9"/>
    <w:rsid w:val="344E322F"/>
    <w:rsid w:val="511B18C1"/>
    <w:rsid w:val="54DA207F"/>
    <w:rsid w:val="60D80CAB"/>
    <w:rsid w:val="67B253EF"/>
    <w:rsid w:val="6B805C72"/>
    <w:rsid w:val="6D7A25E7"/>
    <w:rsid w:val="727512F0"/>
    <w:rsid w:val="72DE6B4B"/>
    <w:rsid w:val="77590520"/>
    <w:rsid w:val="7891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41"/>
    <w:qFormat/>
    <w:uiPriority w:val="0"/>
    <w:rPr>
      <w:rFonts w:hint="eastAsia" w:ascii="宋体" w:hAnsi="宋体" w:eastAsia="宋体" w:cs="宋体"/>
      <w:color w:val="000000"/>
      <w:sz w:val="22"/>
      <w:szCs w:val="22"/>
      <w:u w:val="none"/>
    </w:rPr>
  </w:style>
  <w:style w:type="character" w:customStyle="1" w:styleId="5">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437</Words>
  <Characters>2491</Characters>
  <Lines>20</Lines>
  <Paragraphs>5</Paragraphs>
  <TotalTime>6</TotalTime>
  <ScaleCrop>false</ScaleCrop>
  <LinksUpToDate>false</LinksUpToDate>
  <CharactersWithSpaces>2923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2021-10-05T07:55:00Z</dcterms:created>
  <dc:creator>dell</dc:creator>
  <cp:lastModifiedBy>娟娟</cp:lastModifiedBy>
  <cp:lastPrinted>2021-10-07T03:14:32Z</cp:lastPrinted>
  <dcterms:modified xsi:type="dcterms:W3CDTF">2021-10-07T03:16:46Z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49893EC3703D469CA7A1DB3B2454F0C2</vt:lpwstr>
  </property>
</Properties>
</file>